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amministrativo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gestisce: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le richieste di copia rapporti di incidente stradale al diretto interessato;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difesa dell'Ente nei ricorsi al Prefetto/Giudice di Pace avverso sanzioni Codice della Strada;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cura le richieste di segnalazioni e sopralluogo da parte di cittadini;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rilascia autorizzazioni passi carrai;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informazioni generali sul codice della strada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COM. TRAVERSO STEFANO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del contenzioso: Udienze GdP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Annullamento d'ufficio di verbali per violazioni a norme di legge nazionale o regionale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Ordinanze di confisca e provvedimenti di dissequestro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Convenzione per adesione al servizio di consultazione Archivio Veicoli Rubati C.E.D. Interforze tramite i servizi telematici Ancitel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Convenzione per adesione all'utenza per il servizio di consultazione del C.E.D. della Direzione Generale della Motorizzazione Civile- Ministero delle Infrastrutture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Convenzione per la fornitura, mediante supporto informatico, di dati contenuti nel sistema informativo del Pubblico registro Automobilistico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Sequestri denaro o cose ai sensi del Reg. di P.U.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Concessioni per occupazione temporanee di suolo pubblico - controllo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Commercio su aree pubbliche con posteggio in mercati - Controllo autorizzazioni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Ordinanza di ingiunzione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fuochi d'artificio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istruttore / direttore di tiro a segno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Lotteria, tombola e pesca di beneficenza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mestiere di fochino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ospitalita' stranieri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Registrazione movimenti inventariali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Aggiornamento pagine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Albo e notifiche: Pubblicazioni albo on line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Gestione banche dati on-line esterne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