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Mantenimento e funzionamento del sistema informatico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le funzioni di gestire la rete informatica, sia dal punto di vista software che hardware; fornire assistenza in materia informatica agli uffici; adeguare e aggiornare la dotazione informatica dell'ente.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Nell'ambito delle predette competenze, il CED svolge le seguenti attivita':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manutenzione del sistema informatico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Amministrazione della rete locale e geografica, gestione accessi remoti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Attivita' sistemistica sui server, sui personal computer client, monitoraggio delle prestazioni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database, backup e verifica dei dati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Installazione ed aggiornamenti software programmi applicativi e pacchetti di office automation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della sicurezza informatica sulla lan interna e sedi remote, configurazione accessi e diritti utenti, gestione antivirus. Assistenza specialistica agli uffici nell'utilizzo delle procedure informatiche e apparecchiature hardware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Assistenza hardware, installazione nuove apparecchiature informatiche (server di rete, personal computer, stampanti, apparati di rete) coordinamento e verifica degli interventi da parte delle ditte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Analisi del fabbisogno di attrezzature informatiche e software applicativi, sviluppo progetti informatici per nuove soluzioni gestionali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monitoraggio delle connessioni internet e delle linee di comunicazione, manutenzione ed aggiornamento pagine web del sito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amministrativa del settore, gestione delle risorse attribuite, interfaccia con i fornitori e le software house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Conservazione informatica dei documenti digitali conforme al CAD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Acquisti materiale di consumo delle dotazioni informatiche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Disaster recovery e continuita' operativa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Inventario delle strumentazioni informatiche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Formazione specialistica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Studi e analisi informatizzazione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Installazione/configurazione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apparati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Aggiornamenti automatici sw di base e produttivita'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Installazione stampanti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di consulenza /addestramento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supporto per la gestione dati applicativi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Mantenimento e funzionamento del sistema informatico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