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Ufficio stampa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492FFF9"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042114">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042114">
      <w:pPr>
        <w:jc w:val="both"/>
        <w:rPr>
          <w:rFonts w:ascii="Arial" w:hAnsi="Arial" w:cs="Tahoma"/>
          <w:color w:val="000000"/>
        </w:rPr>
      </w:pPr>
      <w:r w:rsidRPr="00BE50E9">
        <w:rPr>
          <w:rFonts w:ascii="Arial" w:hAnsi="Arial" w:cs="Tahoma"/>
          <w:color w:val="000000"/>
        </w:rPr>
        <w:t>L'ufficio cura la rassegna stampa quotidiana, i rapporti con i media locali e nazionali; pianifica le azioni di comunicazione istituzionale; di programmazione delle campagne promozionali ed informative; cura i materiali editoriali.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311D8C35" w:rsidR="00BE50E9" w:rsidRPr="00BE50E9" w:rsidRDefault="00042114" w:rsidP="00BE50E9">
      <w:pPr>
        <w:rPr>
          <w:rFonts w:ascii="Arial" w:hAnsi="Arial" w:cs="Tahoma"/>
          <w:color w:val="000000"/>
        </w:rPr>
      </w:pPr>
      <w:r w:rsidRPr="00042114">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Ufficio stampa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4211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7DDC074F-E583-42B9-9888-1E8B95AC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291</Words>
  <Characters>1659</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2019-12-16T09:12:00Z</dcterms:modified>
</cp:coreProperties>
</file>