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Tutti gli uffici - Attivita' trasversale</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BD00D9">
        <w:rPr>
          <w:rFonts w:ascii="Arial" w:hAnsi="Arial" w:cs="Tahoma"/>
          <w:b/>
          <w:color w:val="2A58A7"/>
        </w:rPr>
        <w:t>2020/2022</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rsidR="00BE50E9" w:rsidRDefault="00BE50E9" w:rsidP="00BD00D9">
      <w:pPr>
        <w:jc w:val="both"/>
        <w:rPr>
          <w:rFonts w:ascii="Arial" w:hAnsi="Arial" w:cs="Tahoma"/>
          <w:color w:val="000000"/>
        </w:rPr>
      </w:pPr>
      <w:r w:rsidRPr="00BE50E9">
        <w:rPr>
          <w:rFonts w:ascii="Arial" w:hAnsi="Arial" w:cs="Tahoma"/>
          <w:color w:val="000000"/>
        </w:rPr>
        <w:t>Tutti gli uffici sono competenti in ordine ai procedimenti e ai processi c.d. trasversali, tra cui, a titolo di esempio, il procedimento di accesso e le procedure di acquisizione mediante il sistema dell'affidamento diretto.</w:t>
      </w:r>
    </w:p>
    <w:p w:rsidR="00DF3DB3" w:rsidRDefault="00BD00D9" w:rsidP="00BD00D9">
      <w:pPr>
        <w:jc w:val="both"/>
      </w:pPr>
      <w:r>
        <w:rPr>
          <w:rFonts w:ascii="Arial" w:hAnsi="Arial"/>
        </w:rPr>
        <w:t>Questi procedimenti e processi vengono, per la loro natura trasversale, mappa</w:t>
      </w:r>
      <w:r>
        <w:rPr>
          <w:rFonts w:ascii="Arial" w:hAnsi="Arial"/>
        </w:rPr>
        <w:t>ti una sola volta a valere per tutti gli uffici.</w:t>
      </w:r>
    </w:p>
    <w:p w:rsidR="00BE50E9" w:rsidRDefault="00BE50E9" w:rsidP="00BE50E9">
      <w:pPr>
        <w:rPr>
          <w:rFonts w:ascii="Arial" w:hAnsi="Arial" w:cs="Tahoma"/>
          <w:color w:val="000000"/>
        </w:rPr>
      </w:pPr>
      <w:bookmarkStart w:id="0" w:name="_GoBack"/>
      <w:bookmarkEnd w:id="0"/>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appalto di lavori, servizi e forniture di importo inferiore a 40.000 euro tramite il sistema dell'affidamento diretto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appalto di servizi e forniture di importo pari o superiore a 40.000 euro e inferiore alle soglie di cui all'articolo 35, D. Lgs. 50/2016 mediante il sistema della procedura negoziata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Adesione convenzioni CONSIP o del Soggetto Aggregatore di riferimento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Proroga contratto in </w:t>
            </w:r>
            <w:r w:rsidRPr="007137E0">
              <w:rPr>
                <w:rFonts w:ascii="Arial" w:hAnsi="Arial"/>
                <w:color w:val="000000"/>
              </w:rPr>
              <w:lastRenderedPageBreak/>
              <w:t>scadenza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B) Affidamento di lavori, servizi e forniture - Scelta </w:t>
            </w:r>
            <w:r w:rsidRPr="007137E0">
              <w:rPr>
                <w:rFonts w:ascii="Arial" w:hAnsi="Arial"/>
              </w:rPr>
              <w:lastRenderedPageBreak/>
              <w:t>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Tutti gli uffici - Attivita' </w:t>
            </w:r>
            <w:r w:rsidRPr="007137E0">
              <w:rPr>
                <w:rFonts w:ascii="Arial" w:hAnsi="Arial"/>
              </w:rPr>
              <w:lastRenderedPageBreak/>
              <w:t>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Conferimento di incarichi di collaborazione, studio e ricerca nonche' di consulenza a soggetti estranei all'amministrazione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A) Acquisizione e progressione del personale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al ricorso a transazioni e altri rimedi di risoluzione delle controversie alternativi a quelli giurisdizionali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Accesso art. 22 e segg. della L. 241/90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Accesso art. 43, co. 2 del T.U.E.L. da parte dei consiglieri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Accesso civico semplice concernente dati, documenti e informazioni soggetti a pubblicazione obbligatoria ai sensi del D. Lgs. 33/2013</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Accesso civico generalizzato concernente dati e documenti ulteriori a quelli soggetti a pubblicazione obbligatoria ai sensi del D. Lgs. 33/2013</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Accesso civico generalizzato concernente dati e documenti ulteriori a quelli soggetti a </w:t>
            </w:r>
            <w:r w:rsidRPr="007137E0">
              <w:rPr>
                <w:rFonts w:ascii="Arial" w:hAnsi="Arial"/>
                <w:color w:val="000000"/>
              </w:rPr>
              <w:lastRenderedPageBreak/>
              <w:t>pubblicazione obbligatoria ai sensi del D. Lgs. 33/2013</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Controversie e contenziosi esterni ed interni, citazioni, costituzioni in giudizio, e conseguente nomina dei difensori e consulenti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Segnalazioni dipendenti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Segnalazione-Esposto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Partecipazione a corsi di formazione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Vigilanza sanitaria a cura del medico competente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Nomina Responsabile Unico del Procedimento (RUP)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Formazione Albo dei professionisti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Front office: Informazioni e comunicazioni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Affidamento appalto di servizi e forniture di importo superiore alle soglie di cui all'art. 35, D. Lgs. 50/2016 </w:t>
            </w:r>
            <w:r w:rsidRPr="007137E0">
              <w:rPr>
                <w:rFonts w:ascii="Arial" w:hAnsi="Arial"/>
                <w:color w:val="000000"/>
              </w:rPr>
              <w:lastRenderedPageBreak/>
              <w:t>attraverso il sistema della procedura aperta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Liquidazione fatture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Registrazione fatture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Accertamenti di entrata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Determine di impegno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D00D9"/>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DF3DB3"/>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15:docId w15:val="{863F25BE-192F-4056-B97A-9AC10F67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1213</Words>
  <Characters>6918</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8115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2019-12-16T09:11:00Z</dcterms:modified>
</cp:coreProperties>
</file>