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Gestione sinistri e danni al patrimonio</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8497A28"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9968BD">
        <w:rPr>
          <w:rFonts w:ascii="Arial" w:hAnsi="Arial" w:cs="Tahoma"/>
          <w:b/>
          <w:color w:val="2A58A7"/>
        </w:rPr>
        <w:t>2020/2022</w:t>
      </w:r>
    </w:p>
    <w:p w14:paraId="60DE93C3" w14:textId="77777777" w:rsid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05B1A22F" w14:textId="0DF8CB7F" w:rsidR="00BE50E9" w:rsidRPr="00BE50E9" w:rsidRDefault="009968BD" w:rsidP="00BE50E9">
      <w:pPr>
        <w:rPr>
          <w:rFonts w:ascii="Arial" w:hAnsi="Arial" w:cs="Tahoma"/>
          <w:color w:val="000000"/>
        </w:rPr>
      </w:pPr>
      <w:r w:rsidRPr="009968BD">
        <w:rPr>
          <w:rFonts w:ascii="Arial" w:hAnsi="Arial"/>
        </w:rPr>
        <w:t>DOTT.SSA MARILENA PERO'</w:t>
      </w:r>
      <w:bookmarkStart w:id="0" w:name="_GoBack"/>
      <w:bookmarkEnd w:id="0"/>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Sopralluogo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Gestione sinistri e danni al patrimonio</w:t>
            </w:r>
          </w:p>
        </w:tc>
      </w:tr>
      <w:tr w:rsidR="00AA54A1" w:rsidRPr="007137E0" w14:paraId="769CC76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4AAF13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CF5AC7D"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7E736DD"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6C30951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Intervento sul bene - Manutenzione ordinaria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ED3DD1C"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0D64188" w14:textId="77777777" w:rsidR="001451FA" w:rsidRPr="007137E0" w:rsidRDefault="00917FC8" w:rsidP="001451FA">
            <w:pPr>
              <w:snapToGrid w:val="0"/>
              <w:rPr>
                <w:rFonts w:ascii="Arial" w:hAnsi="Arial"/>
              </w:rPr>
            </w:pPr>
            <w:r w:rsidRPr="007137E0">
              <w:rPr>
                <w:rFonts w:ascii="Arial" w:hAnsi="Arial"/>
              </w:rPr>
              <w:t>Gestione sinistri e danni al patrimonio</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9968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0EE3AB19-DCCD-4368-B283-3B4DDE9AB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301</Words>
  <Characters>1719</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2019-12-16T09:00:00Z</dcterms:modified>
</cp:coreProperties>
</file>